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E1737A" w:rsidRPr="00E1737A" w:rsidRDefault="00E1737A">
      <w:pPr>
        <w:rPr>
          <w:b/>
          <w:bCs/>
          <w:sz w:val="28"/>
          <w:szCs w:val="28"/>
        </w:rPr>
      </w:pPr>
      <w:r w:rsidRPr="00E1737A">
        <w:rPr>
          <w:b/>
          <w:bCs/>
          <w:sz w:val="28"/>
          <w:szCs w:val="28"/>
        </w:rPr>
        <w:t>Mecanismo para la estipulación de los honorarios médicos de los especialistas colegiados*:</w:t>
      </w:r>
    </w:p>
    <w:p w:rsidR="00E1737A" w:rsidRDefault="00E1737A">
      <w:r>
        <w:t xml:space="preserve"> El Consejo Directivo del COMEGO encomendó al Comité de Honorarios presidido por el Dr. Rubén </w:t>
      </w:r>
      <w:proofErr w:type="spellStart"/>
      <w:r>
        <w:t>Tlapanco</w:t>
      </w:r>
      <w:proofErr w:type="spellEnd"/>
      <w:r>
        <w:t xml:space="preserve"> Barba la tarea de elaborar una propuesta de aranceles profesionales que ahora ponemos a su consideración y que tiene las siguientes características: </w:t>
      </w:r>
    </w:p>
    <w:p w:rsidR="00E1737A" w:rsidRPr="00E1737A" w:rsidRDefault="00E1737A">
      <w:pPr>
        <w:rPr>
          <w:b/>
          <w:bCs/>
          <w:sz w:val="24"/>
          <w:szCs w:val="24"/>
        </w:rPr>
      </w:pPr>
      <w:r w:rsidRPr="00E1737A">
        <w:rPr>
          <w:b/>
          <w:bCs/>
          <w:sz w:val="24"/>
          <w:szCs w:val="24"/>
        </w:rPr>
        <w:t>Propuesta de honorarios</w:t>
      </w:r>
    </w:p>
    <w:p w:rsidR="00E1737A" w:rsidRDefault="00E1737A">
      <w:r>
        <w:t xml:space="preserve"> 1. Responde a una demanda reiterada de los colegiados</w:t>
      </w:r>
    </w:p>
    <w:p w:rsidR="00E1737A" w:rsidRDefault="00E1737A">
      <w:r>
        <w:t xml:space="preserve"> 2. No establece cantidades </w:t>
      </w:r>
      <w:r>
        <w:t>absolutas,</w:t>
      </w:r>
      <w:r>
        <w:t xml:space="preserve"> sino que presenta una fórmula congruente y sistemática para su cálculo </w:t>
      </w:r>
    </w:p>
    <w:p w:rsidR="00E1737A" w:rsidRDefault="00E1737A">
      <w:r>
        <w:t xml:space="preserve">3. Es adaptable a diferentes niveles económicos </w:t>
      </w:r>
    </w:p>
    <w:p w:rsidR="00E1737A" w:rsidRDefault="00E1737A">
      <w:r>
        <w:t xml:space="preserve">4. Analiza y fundamenta las variables que deben tomarse en consideración </w:t>
      </w:r>
    </w:p>
    <w:p w:rsidR="00E1737A" w:rsidRDefault="00E1737A">
      <w:r>
        <w:t xml:space="preserve">5. La base para el cálculo es dinámica y actualizable </w:t>
      </w:r>
    </w:p>
    <w:p w:rsidR="00E1737A" w:rsidRDefault="00E1737A">
      <w:r>
        <w:t xml:space="preserve">6. Es sistemática </w:t>
      </w:r>
    </w:p>
    <w:p w:rsidR="00E1737A" w:rsidRDefault="00E1737A">
      <w:r>
        <w:t xml:space="preserve">La propuesta elaborada por el Comité de Honorarios del Colegio Mexicano de Especialistas en Ginecología y Obstetricia, A.C. surge como la respuesta ante una encomienda legal derivada de artículo 5° Constitucional para que los colegios de profesionales sean quienes propongan la formulación de aranceles y honorarios profesionales. </w:t>
      </w:r>
    </w:p>
    <w:p w:rsidR="00E1737A" w:rsidRDefault="00E1737A">
      <w:r>
        <w:t xml:space="preserve">La ley señala que será el profesionista quien estipule sus propios honorarios, sin embargo, en el caso de que “no exista un acuerdo previo entre el médico y su paciente”, se recurrirá a la aplicación de los aranceles y honorarios planteados por el colegio. </w:t>
      </w:r>
    </w:p>
    <w:p w:rsidR="00E1737A" w:rsidRDefault="00E1737A">
      <w:r>
        <w:t xml:space="preserve">El eje de la propuesta con base en el cual se determinan los montos de los honorarios lo representa “la consulta médica básica”, la cual se define como aquella que realiza el especialista en su consultorio, dentro de los horarios y días habituales por él establecidos, sin la realización de “ningún procedimiento adicional”. Una vez determinado el costo de esta, todos los procedimientos adicionales y procedimientos quirúrgicos se </w:t>
      </w:r>
      <w:r>
        <w:t>determinarán</w:t>
      </w:r>
      <w:r>
        <w:t xml:space="preserve"> utilizando fracciones o múltiplos de la cantidad cobrada en la consulta médica básica, mismos que puede ser consultados en las tablas respectivas. </w:t>
      </w:r>
    </w:p>
    <w:p w:rsidR="00E1737A" w:rsidRDefault="00E1737A">
      <w:r>
        <w:t>Se entiende como “procedimiento adicional” a todo acto médico que exceda del interrogatorio, la exploración física y la prescripción y/o solicitud de exámenes de laboratorio y/o gabinete, (también se han elaborado la tabla respectiva).</w:t>
      </w:r>
    </w:p>
    <w:p w:rsidR="00E1737A" w:rsidRDefault="00E1737A">
      <w:r>
        <w:t xml:space="preserve"> La determinación del costo de la consulta médica básica considera varios elementos, por </w:t>
      </w:r>
      <w:r>
        <w:t>ejemplo,</w:t>
      </w:r>
      <w:r>
        <w:t xml:space="preserve"> el salario mínimo vigente en el Distrito Federal, el </w:t>
      </w:r>
      <w:proofErr w:type="gramStart"/>
      <w:r>
        <w:t>cual</w:t>
      </w:r>
      <w:proofErr w:type="gramEnd"/>
      <w:r>
        <w:t xml:space="preserve"> en teoría, es aplicado a las personas con preparación escolar mínima, que en promedio en nuestro país es el equivalente a 4° año de primaria. Considerando </w:t>
      </w:r>
      <w:proofErr w:type="gramStart"/>
      <w:r>
        <w:t>que</w:t>
      </w:r>
      <w:proofErr w:type="gramEnd"/>
      <w:r>
        <w:t xml:space="preserve"> de acuerdo a los planes de estudios vigentes, obtener el grado de especialidad de ginecología y obstetricia requiere de 25 años de estudios, se establece una proporción de cinco salarios mínimos para el costo de la consulta médica básica. </w:t>
      </w:r>
    </w:p>
    <w:p w:rsidR="00E1737A" w:rsidRDefault="00E1737A">
      <w:r>
        <w:t xml:space="preserve">Se establecen además cinco niveles (1 a 5), que guardan un diferencial económico de 40% entre cada uno de ellos, entendiendo que los gineco obstetras colegiados ejercerán su profesión en muy diversos niveles socioeconómicos, con un grado de inversión de sus instalaciones también muy variado. </w:t>
      </w:r>
    </w:p>
    <w:p w:rsidR="00E1737A" w:rsidRDefault="00E1737A">
      <w:r>
        <w:lastRenderedPageBreak/>
        <w:t xml:space="preserve">El ingreso a cada uno de estos cinco niveles propuestos será libre elección del profesionista, sin embargo, el Comité de Honorarios del Colegio hace algunas recomendaciones para efectuar esa elección de la mejor manera posible. </w:t>
      </w:r>
    </w:p>
    <w:p w:rsidR="00E1737A" w:rsidRDefault="00E1737A">
      <w:r>
        <w:t xml:space="preserve">Con la finalidad de fomentar y reconocer la actualización médica continua de los colegiados, los cinco niveles propuestos tienen un subnivel (A y B), donde “A” corresponde al especialista colegiado con certificación vigente por el Consejo Mexicano de Ginecología y Obstetricia, A.C. y “B” al especialista colegiado sin certificación vigente. Se considera que el esfuerzo tanto intelectual como económico realizados por el especialista en su auténtico interés por mantenerse actualizado, deben verse reflejados en sus emolumentos, por ello se establece un porcentaje diferencial del 15% entre los subniveles A y B de cada uno de los cinco niveles básicos. </w:t>
      </w:r>
    </w:p>
    <w:p w:rsidR="00E1737A" w:rsidRDefault="00E1737A">
      <w:proofErr w:type="gramStart"/>
      <w:r>
        <w:t>Finalmente</w:t>
      </w:r>
      <w:proofErr w:type="gramEnd"/>
      <w:r>
        <w:t xml:space="preserve"> el Comité de Honorarios del Colegio, conocedor de que los procedimientos quirúrgicos representan diversos grados de complejidad, propone reflejar esta situación diferenciando su costo, utilizando para ello además del múltiplo correspondiente del costo unitario de la “consulta médica básica”, la calificación de riesgo dada por la American </w:t>
      </w:r>
      <w:proofErr w:type="spellStart"/>
      <w:r>
        <w:t>Society</w:t>
      </w:r>
      <w:proofErr w:type="spellEnd"/>
      <w:r>
        <w:t xml:space="preserve"> </w:t>
      </w:r>
      <w:proofErr w:type="spellStart"/>
      <w:r>
        <w:t>of</w:t>
      </w:r>
      <w:proofErr w:type="spellEnd"/>
      <w:r>
        <w:t xml:space="preserve"> </w:t>
      </w:r>
      <w:proofErr w:type="spellStart"/>
      <w:r>
        <w:t>Anesthesiologists</w:t>
      </w:r>
      <w:proofErr w:type="spellEnd"/>
      <w:r>
        <w:t xml:space="preserve"> (ASA). </w:t>
      </w:r>
    </w:p>
    <w:p w:rsidR="00940B89" w:rsidRDefault="00E1737A">
      <w:pPr>
        <w:rPr>
          <w:b/>
          <w:bCs/>
        </w:rPr>
      </w:pPr>
      <w:r w:rsidRPr="00E1737A">
        <w:rPr>
          <w:b/>
          <w:bCs/>
        </w:rPr>
        <w:t>*Comité de Honorarios del Colegio Mexicano de Especialistas en Ginecología y Obstetricia, A.C.</w:t>
      </w:r>
    </w:p>
    <w:p w:rsidR="00E1737A" w:rsidRDefault="00E1737A">
      <w:pPr>
        <w:rPr>
          <w:b/>
          <w:bCs/>
        </w:rPr>
      </w:pPr>
    </w:p>
    <w:p w:rsidR="00E1737A" w:rsidRPr="00E1737A" w:rsidRDefault="00E1737A">
      <w:pPr>
        <w:rPr>
          <w:b/>
          <w:bCs/>
        </w:rPr>
      </w:pPr>
      <w:bookmarkStart w:id="0" w:name="_GoBack"/>
      <w:r>
        <w:rPr>
          <w:b/>
          <w:bCs/>
          <w:noProof/>
        </w:rPr>
        <w:drawing>
          <wp:inline distT="0" distB="0" distL="0" distR="0">
            <wp:extent cx="5400040" cy="1350010"/>
            <wp:effectExtent l="0" t="0" r="0" b="2540"/>
            <wp:docPr id="1" name="Imagen 1" descr="Captura de pantalla de un celula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20-03-12 (1).png"/>
                    <pic:cNvPicPr/>
                  </pic:nvPicPr>
                  <pic:blipFill>
                    <a:blip r:embed="rId4">
                      <a:extLst>
                        <a:ext uri="{28A0092B-C50C-407E-A947-70E740481C1C}">
                          <a14:useLocalDpi xmlns:a14="http://schemas.microsoft.com/office/drawing/2010/main" val="0"/>
                        </a:ext>
                      </a:extLst>
                    </a:blip>
                    <a:stretch>
                      <a:fillRect/>
                    </a:stretch>
                  </pic:blipFill>
                  <pic:spPr>
                    <a:xfrm>
                      <a:off x="0" y="0"/>
                      <a:ext cx="5400040" cy="1350010"/>
                    </a:xfrm>
                    <a:prstGeom prst="rect">
                      <a:avLst/>
                    </a:prstGeom>
                  </pic:spPr>
                </pic:pic>
              </a:graphicData>
            </a:graphic>
          </wp:inline>
        </w:drawing>
      </w:r>
      <w:bookmarkEnd w:id="0"/>
    </w:p>
    <w:sectPr w:rsidR="00E1737A" w:rsidRPr="00E1737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737A"/>
    <w:rsid w:val="00940B89"/>
    <w:rsid w:val="00E1737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B9810"/>
  <w15:chartTrackingRefBased/>
  <w15:docId w15:val="{50199D65-195C-4B8A-889D-64B778F52C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672</Words>
  <Characters>3698</Characters>
  <Application>Microsoft Office Word</Application>
  <DocSecurity>0</DocSecurity>
  <Lines>30</Lines>
  <Paragraphs>8</Paragraphs>
  <ScaleCrop>false</ScaleCrop>
  <Company/>
  <LinksUpToDate>false</LinksUpToDate>
  <CharactersWithSpaces>4362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Waldo Jared</dc:creator>
  <cp:keywords/>
  <dc:description/>
  <cp:lastModifiedBy>Waldo Jared</cp:lastModifiedBy>
  <cp:revision>1</cp:revision>
  <dcterms:created xsi:type="dcterms:W3CDTF">2020-03-12T16:56:00Z</dcterms:created>
  <dcterms:modified xsi:type="dcterms:W3CDTF">2020-03-12T17:05:00Z</dcterms:modified>
</cp:coreProperties>
</file>