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6CB7BD" w14:textId="240C2466" w:rsidR="00631575" w:rsidRPr="00631575" w:rsidRDefault="00631575" w:rsidP="00631575">
      <w:pPr>
        <w:jc w:val="center"/>
        <w:rPr>
          <w:b/>
          <w:bCs/>
          <w:sz w:val="28"/>
          <w:szCs w:val="28"/>
        </w:rPr>
      </w:pPr>
      <w:r w:rsidRPr="00631575">
        <w:rPr>
          <w:b/>
          <w:bCs/>
          <w:sz w:val="28"/>
          <w:szCs w:val="28"/>
        </w:rPr>
        <w:t>Artículo 17</w:t>
      </w:r>
    </w:p>
    <w:p w14:paraId="5C6832EE" w14:textId="108C824E" w:rsidR="00631575" w:rsidRDefault="00631575" w:rsidP="00631575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Artículo 17. </w:t>
      </w:r>
      <w:r>
        <w:rPr>
          <w:sz w:val="20"/>
          <w:szCs w:val="20"/>
        </w:rPr>
        <w:t xml:space="preserve">Ninguna persona podrá hacerse justicia por sí misma, ni ejercer violencia para reclamar su derecho. </w:t>
      </w:r>
    </w:p>
    <w:p w14:paraId="796FA168" w14:textId="77777777" w:rsidR="00631575" w:rsidRDefault="00631575" w:rsidP="00631575">
      <w:pPr>
        <w:pStyle w:val="Default"/>
        <w:rPr>
          <w:sz w:val="20"/>
          <w:szCs w:val="20"/>
        </w:rPr>
      </w:pPr>
    </w:p>
    <w:p w14:paraId="6EA2D1D5" w14:textId="4A900007" w:rsidR="00631575" w:rsidRPr="00631575" w:rsidRDefault="00631575" w:rsidP="00631575">
      <w:pPr>
        <w:rPr>
          <w:rFonts w:ascii="Arial" w:hAnsi="Arial" w:cs="Arial"/>
          <w:sz w:val="20"/>
          <w:szCs w:val="20"/>
        </w:rPr>
      </w:pPr>
      <w:r w:rsidRPr="00631575">
        <w:rPr>
          <w:rFonts w:ascii="Arial" w:hAnsi="Arial" w:cs="Arial"/>
          <w:sz w:val="20"/>
          <w:szCs w:val="20"/>
        </w:rPr>
        <w:t>Toda persona tiene derecho a que se le administre justicia por tribunales que estarán expeditos para impartirla en los plazos y términos que fijen las leyes, emitiendo sus resoluciones de manera pronta,</w:t>
      </w:r>
      <w:r>
        <w:rPr>
          <w:rFonts w:ascii="Arial" w:hAnsi="Arial" w:cs="Arial"/>
          <w:sz w:val="20"/>
          <w:szCs w:val="20"/>
        </w:rPr>
        <w:t xml:space="preserve"> </w:t>
      </w:r>
      <w:r w:rsidRPr="00631575">
        <w:rPr>
          <w:rFonts w:ascii="Arial" w:hAnsi="Arial" w:cs="Arial"/>
          <w:sz w:val="20"/>
          <w:szCs w:val="20"/>
        </w:rPr>
        <w:t xml:space="preserve">completa e imparcial. Su servicio será gratuito, quedando, en consecuencia, prohibidas las costas judiciales. </w:t>
      </w:r>
    </w:p>
    <w:p w14:paraId="7758BA4F" w14:textId="77777777" w:rsidR="00631575" w:rsidRDefault="00631575" w:rsidP="00631575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Siempre que no se afecte la igualdad entre las partes, el debido proceso u otros derechos en los juicios o procedimientos seguidos en forma de juicio, las autoridades deberán privilegiar la solución del conflicto sobre los formalismos procedimentales. </w:t>
      </w:r>
    </w:p>
    <w:p w14:paraId="7D4C1E86" w14:textId="77777777" w:rsidR="00631575" w:rsidRDefault="00631575" w:rsidP="00631575">
      <w:pPr>
        <w:pStyle w:val="Default"/>
        <w:rPr>
          <w:rFonts w:ascii="Times New Roman" w:hAnsi="Times New Roman" w:cs="Times New Roman"/>
          <w:i/>
          <w:iCs/>
          <w:sz w:val="16"/>
          <w:szCs w:val="16"/>
        </w:rPr>
      </w:pPr>
    </w:p>
    <w:p w14:paraId="21F05220" w14:textId="2585138F" w:rsidR="00631575" w:rsidRDefault="00631575" w:rsidP="00631575">
      <w:pPr>
        <w:pStyle w:val="Default"/>
        <w:jc w:val="right"/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rFonts w:ascii="Times New Roman" w:hAnsi="Times New Roman" w:cs="Times New Roman"/>
          <w:i/>
          <w:iCs/>
          <w:sz w:val="16"/>
          <w:szCs w:val="16"/>
        </w:rPr>
        <w:t xml:space="preserve">Párrafo adicionado DOF 15-09-2017 </w:t>
      </w:r>
    </w:p>
    <w:p w14:paraId="5B13D9F9" w14:textId="77777777" w:rsidR="00631575" w:rsidRDefault="00631575" w:rsidP="00631575">
      <w:pPr>
        <w:pStyle w:val="Default"/>
        <w:rPr>
          <w:rFonts w:ascii="Times New Roman" w:hAnsi="Times New Roman" w:cs="Times New Roman"/>
          <w:sz w:val="16"/>
          <w:szCs w:val="16"/>
        </w:rPr>
      </w:pPr>
    </w:p>
    <w:p w14:paraId="037C8890" w14:textId="77777777" w:rsidR="00631575" w:rsidRDefault="00631575" w:rsidP="00631575">
      <w:pPr>
        <w:pStyle w:val="Default"/>
        <w:rPr>
          <w:sz w:val="20"/>
          <w:szCs w:val="20"/>
        </w:rPr>
      </w:pPr>
      <w:r>
        <w:rPr>
          <w:sz w:val="20"/>
          <w:szCs w:val="20"/>
        </w:rPr>
        <w:t>El Congreso de la Unión expedirá las leyes que regulen las acciones colectivas. Tales leyes determinarán las materias de aplicación, los procedimientos judiciales y los mecanismos de reparación del daño. Los jueces federales conocerán de forma exclusiva sobre estos procedimientos y mecanismos.</w:t>
      </w:r>
    </w:p>
    <w:p w14:paraId="1B8B5EFB" w14:textId="239E1AF2" w:rsidR="00631575" w:rsidRDefault="00631575" w:rsidP="00631575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345A32E8" w14:textId="77777777" w:rsidR="00631575" w:rsidRDefault="00631575" w:rsidP="00631575">
      <w:pPr>
        <w:pStyle w:val="Default"/>
        <w:rPr>
          <w:sz w:val="20"/>
          <w:szCs w:val="20"/>
        </w:rPr>
      </w:pPr>
      <w:r>
        <w:rPr>
          <w:sz w:val="20"/>
          <w:szCs w:val="20"/>
        </w:rPr>
        <w:t>Las leyes preverán mecanismos alternativos de solución de controversias. En la materia penal regularán su aplicación, asegurarán la reparación del daño y establecerán los casos en los que se requerirá supervisión judicial.</w:t>
      </w:r>
    </w:p>
    <w:p w14:paraId="4CC7965B" w14:textId="5B8FBD33" w:rsidR="00631575" w:rsidRDefault="00631575" w:rsidP="00631575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1FDFEC5D" w14:textId="0B2B8ED8" w:rsidR="00631575" w:rsidRDefault="00631575" w:rsidP="00631575">
      <w:pPr>
        <w:pStyle w:val="Default"/>
        <w:rPr>
          <w:sz w:val="20"/>
          <w:szCs w:val="20"/>
        </w:rPr>
      </w:pPr>
      <w:r>
        <w:rPr>
          <w:sz w:val="20"/>
          <w:szCs w:val="20"/>
        </w:rPr>
        <w:t>Las sentencias que pongan fin a los procedimientos orales deberán ser explicadas en audiencia pública previa citación de las partes.</w:t>
      </w:r>
    </w:p>
    <w:p w14:paraId="2113AFAA" w14:textId="77777777" w:rsidR="00631575" w:rsidRDefault="00631575" w:rsidP="00631575">
      <w:pPr>
        <w:pStyle w:val="Default"/>
        <w:rPr>
          <w:sz w:val="20"/>
          <w:szCs w:val="20"/>
        </w:rPr>
      </w:pPr>
    </w:p>
    <w:p w14:paraId="3723AE9F" w14:textId="77777777" w:rsidR="00631575" w:rsidRDefault="00631575" w:rsidP="00631575">
      <w:pPr>
        <w:pStyle w:val="Default"/>
        <w:rPr>
          <w:sz w:val="20"/>
          <w:szCs w:val="20"/>
        </w:rPr>
      </w:pPr>
      <w:r>
        <w:rPr>
          <w:sz w:val="20"/>
          <w:szCs w:val="20"/>
        </w:rPr>
        <w:t>Las leyes federales y locales establecerán los medios necesarios para que se garantice la independencia de los tribunales y la plena ejecución de sus resoluciones.</w:t>
      </w:r>
    </w:p>
    <w:p w14:paraId="6C7B7450" w14:textId="0B46D345" w:rsidR="00631575" w:rsidRDefault="00631575" w:rsidP="00631575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572A1AAC" w14:textId="77777777" w:rsidR="00631575" w:rsidRDefault="00631575" w:rsidP="00631575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La Federación y las entidades federativas garantizarán la existencia de un servicio de defensoría pública de calidad para la población y asegurarán las condiciones para un servicio profesional de carrera para los defensores. Las percepciones de los defensores no podrán ser inferiores a las que correspondan a los agentes del Ministerio Público. </w:t>
      </w:r>
    </w:p>
    <w:p w14:paraId="5BE97046" w14:textId="77777777" w:rsidR="00631575" w:rsidRDefault="00631575" w:rsidP="00631575">
      <w:pPr>
        <w:rPr>
          <w:rFonts w:ascii="Times New Roman" w:hAnsi="Times New Roman" w:cs="Times New Roman"/>
          <w:i/>
          <w:iCs/>
          <w:sz w:val="16"/>
          <w:szCs w:val="16"/>
        </w:rPr>
      </w:pPr>
    </w:p>
    <w:p w14:paraId="2A8D0971" w14:textId="0CF1F1DB" w:rsidR="005E2DF9" w:rsidRDefault="00631575" w:rsidP="005E2DF9">
      <w:pPr>
        <w:jc w:val="right"/>
        <w:rPr>
          <w:sz w:val="28"/>
          <w:szCs w:val="28"/>
        </w:rPr>
      </w:pPr>
      <w:r>
        <w:rPr>
          <w:rFonts w:ascii="Times New Roman" w:hAnsi="Times New Roman" w:cs="Times New Roman"/>
          <w:i/>
          <w:iCs/>
          <w:sz w:val="16"/>
          <w:szCs w:val="16"/>
        </w:rPr>
        <w:t>Párrafo reformado DOF 29-01-2016</w:t>
      </w:r>
    </w:p>
    <w:p w14:paraId="46E2C228" w14:textId="043F5F1D" w:rsidR="00185242" w:rsidRDefault="00185242" w:rsidP="00185242">
      <w:pPr>
        <w:tabs>
          <w:tab w:val="left" w:pos="364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Análisis del articulo 17</w:t>
      </w:r>
      <w:bookmarkStart w:id="0" w:name="_GoBack"/>
      <w:bookmarkEnd w:id="0"/>
    </w:p>
    <w:p w14:paraId="395EEB30" w14:textId="77777777" w:rsidR="00185242" w:rsidRDefault="00185242" w:rsidP="009B5542">
      <w:pPr>
        <w:pStyle w:val="Sinespaciado"/>
        <w:rPr>
          <w:rFonts w:ascii="Arial" w:hAnsi="Arial" w:cs="Arial"/>
          <w:sz w:val="20"/>
          <w:szCs w:val="20"/>
        </w:rPr>
      </w:pPr>
    </w:p>
    <w:p w14:paraId="283E1601" w14:textId="588D2204" w:rsidR="009B5542" w:rsidRPr="009B5542" w:rsidRDefault="005E2DF9" w:rsidP="009B5542">
      <w:pPr>
        <w:pStyle w:val="Sinespaciado"/>
        <w:rPr>
          <w:rFonts w:ascii="Arial" w:hAnsi="Arial" w:cs="Arial"/>
          <w:sz w:val="20"/>
          <w:szCs w:val="20"/>
        </w:rPr>
      </w:pPr>
      <w:r w:rsidRPr="009B5542">
        <w:rPr>
          <w:rFonts w:ascii="Arial" w:hAnsi="Arial" w:cs="Arial"/>
          <w:sz w:val="20"/>
          <w:szCs w:val="20"/>
        </w:rPr>
        <w:t>El artículo en mención en cuanto a su redacción actual data del año de</w:t>
      </w:r>
      <w:r w:rsidR="009B5542" w:rsidRPr="009B5542"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1987, año en el que se reformaron los artículos 115 y 116 también de nuestra</w:t>
      </w:r>
      <w:r w:rsidR="009B5542" w:rsidRPr="009B5542"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Constitución. Y que al mismo tiempo se relacionan con la materia de la presente tesis.</w:t>
      </w:r>
      <w:r w:rsidR="009B5542" w:rsidRPr="009B5542">
        <w:rPr>
          <w:rFonts w:ascii="Arial" w:hAnsi="Arial" w:cs="Arial"/>
          <w:sz w:val="20"/>
          <w:szCs w:val="20"/>
        </w:rPr>
        <w:t xml:space="preserve"> </w:t>
      </w:r>
    </w:p>
    <w:p w14:paraId="31C8B0BC" w14:textId="77777777" w:rsidR="009B5542" w:rsidRPr="009B5542" w:rsidRDefault="009B5542" w:rsidP="009B5542">
      <w:pPr>
        <w:pStyle w:val="Sinespaciado"/>
        <w:rPr>
          <w:rFonts w:ascii="Arial" w:hAnsi="Arial" w:cs="Arial"/>
          <w:sz w:val="20"/>
          <w:szCs w:val="20"/>
        </w:rPr>
      </w:pPr>
    </w:p>
    <w:p w14:paraId="5583383D" w14:textId="26847DC0" w:rsidR="005E2DF9" w:rsidRPr="009B5542" w:rsidRDefault="005E2DF9" w:rsidP="009B5542">
      <w:pPr>
        <w:pStyle w:val="Sinespaciado"/>
        <w:rPr>
          <w:rFonts w:ascii="Arial" w:hAnsi="Arial" w:cs="Arial"/>
          <w:sz w:val="20"/>
          <w:szCs w:val="20"/>
        </w:rPr>
      </w:pPr>
      <w:r w:rsidRPr="009B5542">
        <w:rPr>
          <w:rFonts w:ascii="Arial" w:hAnsi="Arial" w:cs="Arial"/>
          <w:sz w:val="20"/>
          <w:szCs w:val="20"/>
        </w:rPr>
        <w:t>Dentro de la exposición de motivo</w:t>
      </w:r>
      <w:r w:rsidR="009B5542" w:rsidRPr="009B5542">
        <w:rPr>
          <w:rFonts w:ascii="Arial" w:hAnsi="Arial" w:cs="Arial"/>
          <w:sz w:val="20"/>
          <w:szCs w:val="20"/>
        </w:rPr>
        <w:t>s</w:t>
      </w:r>
      <w:r w:rsidRPr="009B5542">
        <w:rPr>
          <w:rFonts w:ascii="Arial" w:hAnsi="Arial" w:cs="Arial"/>
          <w:sz w:val="20"/>
          <w:szCs w:val="20"/>
        </w:rPr>
        <w:t xml:space="preserve"> de la iniciativa por la que se</w:t>
      </w:r>
      <w:r w:rsidR="009B5542" w:rsidRPr="009B5542"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modificaron los artículos a que nos referimos y en específico del 17, señala que la</w:t>
      </w:r>
      <w:r w:rsidR="009B5542" w:rsidRPr="009B5542"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impartición de justicia en México debe ser legal, equitativa, con orden y seguridad para</w:t>
      </w:r>
      <w:r w:rsidR="009B5542" w:rsidRPr="009B5542"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que el individuo se desarrolle en sociedad. Lo anterior es importante pues, reconoce la</w:t>
      </w:r>
      <w:r w:rsidR="009B5542" w:rsidRPr="009B5542"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necesidad de los hombres que viven en sociedad, de tener una certeza jurídica dentro de la</w:t>
      </w:r>
      <w:r w:rsidR="009B5542" w:rsidRPr="009B5542"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interacción entre diferentes voluntades e intereses que se suscitan en la vida de relación.</w:t>
      </w:r>
    </w:p>
    <w:p w14:paraId="4B79C041" w14:textId="77777777" w:rsidR="009B5542" w:rsidRPr="009B5542" w:rsidRDefault="009B5542" w:rsidP="009B5542">
      <w:pPr>
        <w:pStyle w:val="Sinespaciado"/>
        <w:rPr>
          <w:rFonts w:ascii="Arial" w:hAnsi="Arial" w:cs="Arial"/>
          <w:sz w:val="20"/>
          <w:szCs w:val="20"/>
        </w:rPr>
      </w:pPr>
    </w:p>
    <w:p w14:paraId="26116729" w14:textId="34F8E519" w:rsidR="005E2DF9" w:rsidRPr="009B5542" w:rsidRDefault="005E2DF9" w:rsidP="009B5542">
      <w:pPr>
        <w:pStyle w:val="Sinespaciado"/>
        <w:rPr>
          <w:rFonts w:ascii="Arial" w:hAnsi="Arial" w:cs="Arial"/>
          <w:sz w:val="20"/>
          <w:szCs w:val="20"/>
        </w:rPr>
      </w:pPr>
      <w:r w:rsidRPr="009B5542">
        <w:rPr>
          <w:rFonts w:ascii="Arial" w:hAnsi="Arial" w:cs="Arial"/>
          <w:sz w:val="20"/>
          <w:szCs w:val="20"/>
        </w:rPr>
        <w:t>Del mismo modo este artículo al prever la garantía de acceso a la</w:t>
      </w:r>
    </w:p>
    <w:p w14:paraId="04AF520F" w14:textId="77777777" w:rsidR="005E2DF9" w:rsidRPr="009B5542" w:rsidRDefault="005E2DF9" w:rsidP="009B5542">
      <w:pPr>
        <w:pStyle w:val="Sinespaciado"/>
        <w:rPr>
          <w:rFonts w:ascii="Arial" w:hAnsi="Arial" w:cs="Arial"/>
          <w:sz w:val="20"/>
          <w:szCs w:val="20"/>
        </w:rPr>
      </w:pPr>
      <w:r w:rsidRPr="009B5542">
        <w:rPr>
          <w:rFonts w:ascii="Arial" w:hAnsi="Arial" w:cs="Arial"/>
          <w:sz w:val="20"/>
          <w:szCs w:val="20"/>
        </w:rPr>
        <w:t>jurisdicción tuvo a bien, determinar las necesidades que debe cumplir el Estado para</w:t>
      </w:r>
    </w:p>
    <w:p w14:paraId="54EBCBD6" w14:textId="77777777" w:rsidR="005E2DF9" w:rsidRPr="009B5542" w:rsidRDefault="005E2DF9" w:rsidP="009B5542">
      <w:pPr>
        <w:pStyle w:val="Sinespaciado"/>
        <w:rPr>
          <w:rFonts w:ascii="Arial" w:hAnsi="Arial" w:cs="Arial"/>
          <w:sz w:val="20"/>
          <w:szCs w:val="20"/>
        </w:rPr>
      </w:pPr>
      <w:r w:rsidRPr="009B5542">
        <w:rPr>
          <w:rFonts w:ascii="Arial" w:hAnsi="Arial" w:cs="Arial"/>
          <w:sz w:val="20"/>
          <w:szCs w:val="20"/>
        </w:rPr>
        <w:t>proporcionar justicia del mejor modo posible, como es la independencia de los órganos</w:t>
      </w:r>
    </w:p>
    <w:p w14:paraId="74F7A808" w14:textId="77777777" w:rsidR="005E2DF9" w:rsidRPr="009B5542" w:rsidRDefault="005E2DF9" w:rsidP="009B5542">
      <w:pPr>
        <w:pStyle w:val="Sinespaciado"/>
        <w:rPr>
          <w:rFonts w:ascii="Arial" w:hAnsi="Arial" w:cs="Arial"/>
          <w:sz w:val="20"/>
          <w:szCs w:val="20"/>
        </w:rPr>
      </w:pPr>
      <w:r w:rsidRPr="009B5542">
        <w:rPr>
          <w:rFonts w:ascii="Arial" w:hAnsi="Arial" w:cs="Arial"/>
          <w:sz w:val="20"/>
          <w:szCs w:val="20"/>
        </w:rPr>
        <w:t>jurisdiccionales, pues sin esta sus resoluciones no pueden estar libres de la intervención de</w:t>
      </w:r>
    </w:p>
    <w:p w14:paraId="5BF62C32" w14:textId="77777777" w:rsidR="005E2DF9" w:rsidRPr="009B5542" w:rsidRDefault="005E2DF9" w:rsidP="009B5542">
      <w:pPr>
        <w:pStyle w:val="Sinespaciado"/>
        <w:rPr>
          <w:rFonts w:ascii="Arial" w:hAnsi="Arial" w:cs="Arial"/>
          <w:sz w:val="20"/>
          <w:szCs w:val="20"/>
        </w:rPr>
      </w:pPr>
      <w:r w:rsidRPr="009B5542">
        <w:rPr>
          <w:rFonts w:ascii="Arial" w:hAnsi="Arial" w:cs="Arial"/>
          <w:sz w:val="20"/>
          <w:szCs w:val="20"/>
        </w:rPr>
        <w:t>otros poderes. Del mismo modo de nada sirve una impartición de justicia si ésta llega tarde,</w:t>
      </w:r>
    </w:p>
    <w:p w14:paraId="476BF923" w14:textId="43D8FBB4" w:rsidR="005E2DF9" w:rsidRDefault="005E2DF9" w:rsidP="009B5542">
      <w:pPr>
        <w:pStyle w:val="Sinespaciado"/>
        <w:rPr>
          <w:rFonts w:ascii="Arial" w:hAnsi="Arial" w:cs="Arial"/>
          <w:sz w:val="20"/>
          <w:szCs w:val="20"/>
        </w:rPr>
      </w:pPr>
      <w:r w:rsidRPr="009B5542">
        <w:rPr>
          <w:rFonts w:ascii="Arial" w:hAnsi="Arial" w:cs="Arial"/>
          <w:sz w:val="20"/>
          <w:szCs w:val="20"/>
        </w:rPr>
        <w:t>una vez que la materia de juicio haya desaparecido, por lo que esta debe ser pronta, en</w:t>
      </w:r>
    </w:p>
    <w:p w14:paraId="7BBE0735" w14:textId="7705B8D8" w:rsidR="009B5542" w:rsidRPr="009B5542" w:rsidRDefault="009B5542" w:rsidP="009B554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9B5542">
        <w:rPr>
          <w:rFonts w:ascii="Arial" w:hAnsi="Arial" w:cs="Arial"/>
          <w:sz w:val="20"/>
          <w:szCs w:val="20"/>
        </w:rPr>
        <w:t>cuanto,</w:t>
      </w:r>
      <w:r w:rsidRPr="009B5542">
        <w:rPr>
          <w:rFonts w:ascii="Arial" w:hAnsi="Arial" w:cs="Arial"/>
          <w:sz w:val="20"/>
          <w:szCs w:val="20"/>
        </w:rPr>
        <w:t xml:space="preserve"> a la expedición de resoluciones, al mismo tiempo que deben dar solución completa</w:t>
      </w:r>
    </w:p>
    <w:p w14:paraId="442772F1" w14:textId="77777777" w:rsidR="009B5542" w:rsidRPr="009B5542" w:rsidRDefault="009B5542" w:rsidP="009B554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9B5542">
        <w:rPr>
          <w:rFonts w:ascii="Arial" w:hAnsi="Arial" w:cs="Arial"/>
          <w:sz w:val="20"/>
          <w:szCs w:val="20"/>
        </w:rPr>
        <w:t>a las cuestiones planteadas en la litis, al mismo tiempo que debe ser imparcial y gratuita.</w:t>
      </w:r>
    </w:p>
    <w:p w14:paraId="7F6921FF" w14:textId="77777777" w:rsidR="009B5542" w:rsidRDefault="009B5542" w:rsidP="009B554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2A0F3BB4" w14:textId="50243414" w:rsidR="009B5542" w:rsidRDefault="009B5542" w:rsidP="009B554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9B5542">
        <w:rPr>
          <w:rFonts w:ascii="Arial" w:hAnsi="Arial" w:cs="Arial"/>
          <w:sz w:val="20"/>
          <w:szCs w:val="20"/>
        </w:rPr>
        <w:t>Por lo anteriormente señalado, cabe señalar que dicho artículo determina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de alguna forma a la heterocomposición de los litigios como una forma institucionalizada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de darles solución mediante la existencia de un tercero ajeno a la litis que conoce de la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misma y que emite un juicio por el que se declara la existencia de un derecho desconocido,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condena a una de las partes a cumplir una cierta prestación a favor de la otra o bien, hacer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efectiva la resolución dictada por la misma. Misma que deriva de la renuncia de los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particulares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a hacer justicia por propia mano, cuestión que no puede existir dentro de una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sociedad legalmente estructurada y normada, pues aquella actuación egoísta excluye la paz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y unidad que buscan las leyes.</w:t>
      </w:r>
    </w:p>
    <w:p w14:paraId="5EE137C3" w14:textId="77777777" w:rsidR="009B5542" w:rsidRPr="009B5542" w:rsidRDefault="009B5542" w:rsidP="009B554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763CF0C5" w14:textId="592211CC" w:rsidR="009B5542" w:rsidRDefault="009B5542" w:rsidP="009B554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9B5542">
        <w:rPr>
          <w:rFonts w:ascii="Arial" w:hAnsi="Arial" w:cs="Arial"/>
          <w:sz w:val="20"/>
          <w:szCs w:val="20"/>
        </w:rPr>
        <w:t>Los Tribunales de Arbitraje locales y municipales lo son en materia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laboral, respecto de las controversias que se suscitan entre un patrón sui generis en el que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encuadra el Estado o algún ayuntamiento y los trabajadores de estos. Esta relación laboral a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diferencia de la materia laboral que regula el apartado A del artículo 123 constitucional, en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la que se da por la existencia de un contrato de trabajo o por la prestación de un trabajo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personal subordinado, es originada por un nombramiento. El cual puede ser definido como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el acto “unilateral” por el que una “persona normalmente se incorpora al servicio del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Estado”, nombramiento “que nace de la sola voluntad de aquél y, por lo mismo, que no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cuenta la voluntad del trabajador”.</w:t>
      </w:r>
    </w:p>
    <w:p w14:paraId="0B119FB2" w14:textId="3E28284F" w:rsidR="009B5542" w:rsidRDefault="009B5542" w:rsidP="009B554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259F44D4" w14:textId="7FF97C65" w:rsidR="009B5542" w:rsidRDefault="009B5542" w:rsidP="009B554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9B5542">
        <w:rPr>
          <w:rFonts w:ascii="Arial" w:hAnsi="Arial" w:cs="Arial"/>
          <w:sz w:val="20"/>
          <w:szCs w:val="20"/>
        </w:rPr>
        <w:t>Cuestión que no sucede en funcionarios que lo son por mandato, como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son los de elección popular y directa. Tampoco es aplicable esta jurisdicción a aquellos</w:t>
      </w:r>
      <w:r w:rsidRPr="009B5542"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que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las mismas leyes de los trabajadores al servicio del Estado o municipios determinen, a los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que se les aplicará su propia legislación. Así por ejemplo, los trabajadores de la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Universidad Autónoma de Puebla se rige por la ley federal del trabajo, como lo señala el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artículo 3º de la Constitución Federal en su fracción VII, o los Magistrados y jueces que se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rigen por su ley especial; y como lo señala la Ley Orgánica del Poder Judicial del Estado,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“los servidores públicos del Poder Judicial del Estado tendrán derecho a que se les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mantenga en sus respectivos cargos, mientras no incurran en alguna de las causas de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remoción legal”, es decir, ello habla de la estabilidad en el empleo en tratándose de</w:t>
      </w:r>
      <w:r>
        <w:rPr>
          <w:rFonts w:ascii="Arial" w:hAnsi="Arial" w:cs="Arial"/>
          <w:sz w:val="20"/>
          <w:szCs w:val="20"/>
        </w:rPr>
        <w:t xml:space="preserve"> </w:t>
      </w:r>
      <w:r w:rsidRPr="009B5542">
        <w:rPr>
          <w:rFonts w:ascii="Arial" w:hAnsi="Arial" w:cs="Arial"/>
          <w:sz w:val="20"/>
          <w:szCs w:val="20"/>
        </w:rPr>
        <w:t>aquellos servidores públicos, que al fin y al cabo son trabajadores al servicio del estado.</w:t>
      </w:r>
    </w:p>
    <w:p w14:paraId="21262C93" w14:textId="5088BCDF" w:rsidR="00185242" w:rsidRDefault="00185242" w:rsidP="009B554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28C29D11" w14:textId="13DB48BE" w:rsidR="00185242" w:rsidRPr="00185242" w:rsidRDefault="00185242" w:rsidP="00185242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0"/>
          <w:szCs w:val="20"/>
        </w:rPr>
      </w:pPr>
      <w:r>
        <w:rPr>
          <w:rFonts w:ascii="TimesNewRoman" w:hAnsi="TimesNewRoman" w:cs="TimesNewRoman"/>
          <w:sz w:val="20"/>
          <w:szCs w:val="20"/>
        </w:rPr>
        <w:t xml:space="preserve">LOPEZ OLVERA, Miguel Alejandro. </w:t>
      </w:r>
      <w:r>
        <w:rPr>
          <w:rFonts w:ascii="TimesNewRoman,Italic" w:hAnsi="TimesNewRoman,Italic" w:cs="TimesNewRoman,Italic"/>
          <w:i/>
          <w:iCs/>
          <w:sz w:val="20"/>
          <w:szCs w:val="20"/>
        </w:rPr>
        <w:t xml:space="preserve">Técnica legislativa y proyectos de ley. </w:t>
      </w:r>
      <w:r>
        <w:rPr>
          <w:rFonts w:ascii="TimesNewRoman" w:hAnsi="TimesNewRoman" w:cs="TimesNewRoman"/>
          <w:sz w:val="20"/>
          <w:szCs w:val="20"/>
        </w:rPr>
        <w:t>CARBONELL, Miguel y</w:t>
      </w:r>
      <w:r>
        <w:rPr>
          <w:rFonts w:ascii="TimesNewRoman" w:hAnsi="TimesNewRoman" w:cs="TimesNewRoman"/>
          <w:sz w:val="20"/>
          <w:szCs w:val="20"/>
        </w:rPr>
        <w:t xml:space="preserve"> </w:t>
      </w:r>
      <w:r>
        <w:rPr>
          <w:rFonts w:ascii="TimesNewRoman" w:hAnsi="TimesNewRoman" w:cs="TimesNewRoman"/>
          <w:sz w:val="20"/>
          <w:szCs w:val="20"/>
        </w:rPr>
        <w:t xml:space="preserve">Susana Thalía PEDROZA DE LA LLAVE, coordinadores. </w:t>
      </w:r>
      <w:r>
        <w:rPr>
          <w:rFonts w:ascii="TimesNewRoman,Italic" w:hAnsi="TimesNewRoman,Italic" w:cs="TimesNewRoman,Italic"/>
          <w:i/>
          <w:iCs/>
          <w:sz w:val="20"/>
          <w:szCs w:val="20"/>
        </w:rPr>
        <w:t xml:space="preserve">Elementos de técnica legislativa. </w:t>
      </w:r>
      <w:r>
        <w:rPr>
          <w:rFonts w:ascii="TimesNewRoman" w:hAnsi="TimesNewRoman" w:cs="TimesNewRoman"/>
          <w:sz w:val="20"/>
          <w:szCs w:val="20"/>
        </w:rPr>
        <w:t>UNAM. México,</w:t>
      </w:r>
      <w:r>
        <w:rPr>
          <w:rFonts w:ascii="TimesNewRoman" w:hAnsi="TimesNewRoman" w:cs="TimesNewRoman"/>
          <w:sz w:val="20"/>
          <w:szCs w:val="20"/>
        </w:rPr>
        <w:t xml:space="preserve"> </w:t>
      </w:r>
      <w:r>
        <w:rPr>
          <w:rFonts w:ascii="TimesNewRoman" w:hAnsi="TimesNewRoman" w:cs="TimesNewRoman"/>
          <w:sz w:val="20"/>
          <w:szCs w:val="20"/>
        </w:rPr>
        <w:t>2000. p.120 y 121.</w:t>
      </w:r>
    </w:p>
    <w:sectPr w:rsidR="00185242" w:rsidRPr="0018524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,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575"/>
    <w:rsid w:val="00185242"/>
    <w:rsid w:val="005E2DF9"/>
    <w:rsid w:val="00631575"/>
    <w:rsid w:val="009B5542"/>
    <w:rsid w:val="00D47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234C4"/>
  <w15:chartTrackingRefBased/>
  <w15:docId w15:val="{6015C8F7-D3DF-497B-A885-3DE52D073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63157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inespaciado">
    <w:name w:val="No Spacing"/>
    <w:uiPriority w:val="1"/>
    <w:qFormat/>
    <w:rsid w:val="009B554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928</Words>
  <Characters>5106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Waldo Jared</dc:creator>
  <cp:keywords/>
  <dc:description/>
  <cp:lastModifiedBy>Waldo Jared</cp:lastModifiedBy>
  <cp:revision>2</cp:revision>
  <dcterms:created xsi:type="dcterms:W3CDTF">2020-01-26T18:04:00Z</dcterms:created>
  <dcterms:modified xsi:type="dcterms:W3CDTF">2020-01-26T18:34:00Z</dcterms:modified>
</cp:coreProperties>
</file>