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E934CD" w14:textId="3649E523" w:rsidR="001367DD" w:rsidRPr="001367DD" w:rsidRDefault="001367DD" w:rsidP="001367DD">
      <w:pPr>
        <w:jc w:val="center"/>
        <w:rPr>
          <w:b/>
          <w:bCs/>
          <w:sz w:val="28"/>
          <w:szCs w:val="28"/>
        </w:rPr>
      </w:pPr>
      <w:r w:rsidRPr="001367DD">
        <w:rPr>
          <w:b/>
          <w:bCs/>
          <w:sz w:val="28"/>
          <w:szCs w:val="28"/>
        </w:rPr>
        <w:t>Immanuel Kant </w:t>
      </w:r>
    </w:p>
    <w:p w14:paraId="397D5246" w14:textId="4F64D26B" w:rsidR="001367DD" w:rsidRDefault="001367DD" w:rsidP="001367DD">
      <w:r w:rsidRPr="001367DD">
        <w:rPr>
          <w:b/>
          <w:bCs/>
        </w:rPr>
        <w:t>Immanuel Kant</w:t>
      </w:r>
      <w:r w:rsidRPr="001367DD">
        <w:t> (AFI: [</w:t>
      </w:r>
      <w:proofErr w:type="spellStart"/>
      <w:r w:rsidRPr="001367DD">
        <w:t>ɪˈmaːnu̯eːl</w:t>
      </w:r>
      <w:proofErr w:type="spellEnd"/>
      <w:r w:rsidRPr="001367DD">
        <w:t xml:space="preserve"> ˈ</w:t>
      </w:r>
      <w:proofErr w:type="spellStart"/>
      <w:r w:rsidRPr="001367DD">
        <w:t>kant</w:t>
      </w:r>
      <w:proofErr w:type="spellEnd"/>
      <w:r w:rsidRPr="001367DD">
        <w:t xml:space="preserve">]; Königsberg, Prusia; 22 de abril de 1724-ibídem, 12 de febrero de 1804) fue un filósofo alemán de la Ilustración. Fue el primero y más importante representante del criticismo y precursor del idealismo alemán. Es considerado como uno de los pensadores más influyentes de la Europa moderna y de la filosofía universal. </w:t>
      </w:r>
      <w:r w:rsidRPr="001367DD">
        <w:t>Además,</w:t>
      </w:r>
      <w:r w:rsidRPr="001367DD">
        <w:t xml:space="preserve"> se trata del penúltimo pensador de la modernidad, anterior a la filosofía contemporánea que comienza en 1831 tras la muerte del pensador Hegel.</w:t>
      </w:r>
    </w:p>
    <w:p w14:paraId="31ADE190" w14:textId="7A8EEB47" w:rsidR="001367DD" w:rsidRPr="001367DD" w:rsidRDefault="001367DD" w:rsidP="001367DD">
      <w:r w:rsidRPr="001367DD">
        <w:t>Entre sus escritos más destacados se encuentra la </w:t>
      </w:r>
      <w:r w:rsidRPr="001367DD">
        <w:rPr>
          <w:i/>
          <w:iCs/>
        </w:rPr>
        <w:t>Crítica de la razón pura (</w:t>
      </w:r>
      <w:proofErr w:type="spellStart"/>
      <w:r w:rsidRPr="001367DD">
        <w:rPr>
          <w:i/>
          <w:iCs/>
        </w:rPr>
        <w:t>Kritik</w:t>
      </w:r>
      <w:proofErr w:type="spellEnd"/>
      <w:r w:rsidRPr="001367DD">
        <w:rPr>
          <w:i/>
          <w:iCs/>
        </w:rPr>
        <w:t xml:space="preserve"> </w:t>
      </w:r>
      <w:proofErr w:type="spellStart"/>
      <w:r w:rsidRPr="001367DD">
        <w:rPr>
          <w:i/>
          <w:iCs/>
        </w:rPr>
        <w:t>der</w:t>
      </w:r>
      <w:proofErr w:type="spellEnd"/>
      <w:r w:rsidRPr="001367DD">
        <w:rPr>
          <w:i/>
          <w:iCs/>
        </w:rPr>
        <w:t xml:space="preserve"> reinen </w:t>
      </w:r>
      <w:proofErr w:type="spellStart"/>
      <w:r w:rsidRPr="001367DD">
        <w:rPr>
          <w:i/>
          <w:iCs/>
        </w:rPr>
        <w:t>Vernunft</w:t>
      </w:r>
      <w:proofErr w:type="spellEnd"/>
      <w:r w:rsidRPr="001367DD">
        <w:rPr>
          <w:i/>
          <w:iCs/>
        </w:rPr>
        <w:t>)</w:t>
      </w:r>
      <w:hyperlink r:id="rId4" w:anchor="cite_note-razonpura-1" w:history="1">
        <w:r w:rsidRPr="001367DD">
          <w:rPr>
            <w:rStyle w:val="Hipervnculo"/>
            <w:vertAlign w:val="superscript"/>
          </w:rPr>
          <w:t>1</w:t>
        </w:r>
      </w:hyperlink>
      <w:r w:rsidRPr="001367DD">
        <w:t xml:space="preserve">​, calificada generalmente como un punto de inflexión en la historia de la filosofía. En ella se investiga la estructura misma de la razón. </w:t>
      </w:r>
      <w:r w:rsidRPr="001367DD">
        <w:t>Asimismo,</w:t>
      </w:r>
      <w:r w:rsidRPr="001367DD">
        <w:t xml:space="preserve"> se propone que la metafísica tradicional se puede reinterpretar a través de la epistemología, ya que podemos encarar problemas metafísicos cuando entendemos y relacionamos la fuente con los límites del conocimiento.</w:t>
      </w:r>
    </w:p>
    <w:p w14:paraId="76B30D1A" w14:textId="7E1588CC" w:rsidR="001367DD" w:rsidRPr="001367DD" w:rsidRDefault="001367DD" w:rsidP="001367DD">
      <w:r w:rsidRPr="001367DD">
        <w:t>Sus otras obras principales son la </w:t>
      </w:r>
      <w:r w:rsidRPr="001367DD">
        <w:rPr>
          <w:i/>
          <w:iCs/>
        </w:rPr>
        <w:t>Crítica de la razón práctica</w:t>
      </w:r>
      <w:r w:rsidRPr="001367DD">
        <w:t>, centrada en la ética; la </w:t>
      </w:r>
      <w:r w:rsidRPr="001367DD">
        <w:rPr>
          <w:i/>
          <w:iCs/>
        </w:rPr>
        <w:t>Crítica del juicio</w:t>
      </w:r>
      <w:r w:rsidRPr="001367DD">
        <w:t>, en la que investiga acerca de la estética y la teleología y </w:t>
      </w:r>
      <w:r w:rsidRPr="001367DD">
        <w:rPr>
          <w:i/>
          <w:iCs/>
        </w:rPr>
        <w:t>La metafísica de las costumbres</w:t>
      </w:r>
      <w:r w:rsidRPr="001367DD">
        <w:t> que tiene dos partes, una centrada en la ética, la doctrina de la virtud, y la otra centrada en el </w:t>
      </w:r>
      <w:r w:rsidRPr="001367DD">
        <w:rPr>
          <w:i/>
          <w:iCs/>
        </w:rPr>
        <w:t>ius</w:t>
      </w:r>
      <w:r w:rsidRPr="001367DD">
        <w:t>, la doctrina del derecho</w:t>
      </w:r>
      <w:hyperlink r:id="rId5" w:anchor="cite_note-2" w:history="1">
        <w:r w:rsidRPr="001367DD">
          <w:rPr>
            <w:rStyle w:val="Hipervnculo"/>
            <w:vertAlign w:val="superscript"/>
          </w:rPr>
          <w:t>2</w:t>
        </w:r>
      </w:hyperlink>
      <w:r w:rsidRPr="001367DD">
        <w:t>​</w:t>
      </w:r>
    </w:p>
    <w:p w14:paraId="3C775343" w14:textId="2362CF24" w:rsidR="001367DD" w:rsidRDefault="001367DD" w:rsidP="001367DD">
      <w:r w:rsidRPr="001367DD">
        <w:t>El pensamiento kantiano fue muy influyente en la Alemania de su tiempo, puesto que proyectó la filosofía más allá del debate entre el empirismo y el racionalismo. Fichte, Schelling, Hegel y Schopenhauer se vieron a sí mismos expandiendo y complementando el sistema kantiano de modo que con él justificaban el idealismo alemán.</w:t>
      </w:r>
    </w:p>
    <w:p w14:paraId="72917CE2" w14:textId="77777777" w:rsidR="001367DD" w:rsidRDefault="001367DD" w:rsidP="001367DD">
      <w:pPr>
        <w:jc w:val="center"/>
        <w:rPr>
          <w:b/>
          <w:bCs/>
          <w:sz w:val="28"/>
          <w:szCs w:val="28"/>
        </w:rPr>
      </w:pPr>
    </w:p>
    <w:p w14:paraId="1E04CDF7" w14:textId="23E0650E" w:rsidR="001367DD" w:rsidRPr="001367DD" w:rsidRDefault="001367DD" w:rsidP="001367DD">
      <w:pPr>
        <w:jc w:val="center"/>
        <w:rPr>
          <w:b/>
          <w:bCs/>
          <w:sz w:val="28"/>
          <w:szCs w:val="28"/>
        </w:rPr>
      </w:pPr>
      <w:bookmarkStart w:id="0" w:name="_GoBack"/>
      <w:bookmarkEnd w:id="0"/>
      <w:r w:rsidRPr="001367DD">
        <w:rPr>
          <w:b/>
          <w:bCs/>
          <w:sz w:val="28"/>
          <w:szCs w:val="28"/>
        </w:rPr>
        <w:t>Ética kantiana</w:t>
      </w:r>
    </w:p>
    <w:p w14:paraId="5F5F54B4" w14:textId="20DF9D28" w:rsidR="00BB7F0F" w:rsidRDefault="001367DD" w:rsidP="001367DD">
      <w:r w:rsidRPr="001367DD">
        <w:t>La </w:t>
      </w:r>
      <w:r w:rsidRPr="001367DD">
        <w:rPr>
          <w:b/>
          <w:bCs/>
        </w:rPr>
        <w:t>ética kantiana</w:t>
      </w:r>
      <w:r w:rsidRPr="001367DD">
        <w:t xml:space="preserve"> es una teoría ética deontológica formulada por el filósofo Immanuel Kant. Desarrollada como producto del racionalismo ilustrado, está basada en la postura que la única cosa intrínsecamente buena es una buena voluntad; por lo </w:t>
      </w:r>
      <w:r w:rsidRPr="001367DD">
        <w:t>tanto,</w:t>
      </w:r>
      <w:r w:rsidRPr="001367DD">
        <w:t xml:space="preserve"> una acción solo puede ser buena si su máxima —el principio subyacente— obedece a la ley moral. Central a la construcción kantiana de la ley moral es el imperativo categórico, que actúa sobre todas las personas, sin importar sus intereses o deseos. Kant lo formuló de varias maneras. Su principio de universalidad requiere que, para que una acción sea permisible, debe ser posible aplicarla a todas las personas sin resultar contradictoria. Su formulación de la humanidad como un fin en sí misma exige que los humanos nunca sean tratados meramente como un medio para un fin, sino también un fin en sí mismos. La formulación de la autonomía concluye que los agentes racionales están obligados a la ley moral por su propia voluntad, mientras que el concepto de Kant del Reino de los fines exige que las personas actúen como si los principios de sus propias acciones establecieran una ley para un reino hipotético. Kant también distinguió entre deberes perfectos e imperfectos. Un deber perfecto, como el deber de no mentir, es siempre verdadero; uno imperfecto, como donar a la caridad, puede flexibilizarse y aplicarse en un tiempo y espacio particulares.</w:t>
      </w:r>
    </w:p>
    <w:sectPr w:rsidR="00BB7F0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7DD"/>
    <w:rsid w:val="001367DD"/>
    <w:rsid w:val="00BB7F0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FA05B"/>
  <w15:chartTrackingRefBased/>
  <w15:docId w15:val="{5D575ACA-14B0-4563-965E-084A93582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1367DD"/>
    <w:rPr>
      <w:color w:val="0563C1" w:themeColor="hyperlink"/>
      <w:u w:val="single"/>
    </w:rPr>
  </w:style>
  <w:style w:type="character" w:styleId="Mencinsinresolver">
    <w:name w:val="Unresolved Mention"/>
    <w:basedOn w:val="Fuentedeprrafopredeter"/>
    <w:uiPriority w:val="99"/>
    <w:semiHidden/>
    <w:unhideWhenUsed/>
    <w:rsid w:val="001367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4409951">
      <w:bodyDiv w:val="1"/>
      <w:marLeft w:val="0"/>
      <w:marRight w:val="0"/>
      <w:marTop w:val="0"/>
      <w:marBottom w:val="0"/>
      <w:divBdr>
        <w:top w:val="none" w:sz="0" w:space="0" w:color="auto"/>
        <w:left w:val="none" w:sz="0" w:space="0" w:color="auto"/>
        <w:bottom w:val="none" w:sz="0" w:space="0" w:color="auto"/>
        <w:right w:val="none" w:sz="0" w:space="0" w:color="auto"/>
      </w:divBdr>
    </w:div>
    <w:div w:id="1888835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s.wikipedia.org/wiki/Immanuel_Kant" TargetMode="External"/><Relationship Id="rId4" Type="http://schemas.openxmlformats.org/officeDocument/2006/relationships/hyperlink" Target="https://es.wikipedia.org/wiki/Immanuel_Kan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498</Words>
  <Characters>2739</Characters>
  <Application>Microsoft Office Word</Application>
  <DocSecurity>0</DocSecurity>
  <Lines>22</Lines>
  <Paragraphs>6</Paragraphs>
  <ScaleCrop>false</ScaleCrop>
  <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1</cp:revision>
  <dcterms:created xsi:type="dcterms:W3CDTF">2020-02-12T06:35:00Z</dcterms:created>
  <dcterms:modified xsi:type="dcterms:W3CDTF">2020-02-12T06:41:00Z</dcterms:modified>
</cp:coreProperties>
</file>